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A371" w14:textId="77777777" w:rsidR="00886CB1" w:rsidRPr="00886CB1" w:rsidRDefault="00886CB1" w:rsidP="00886CB1">
      <w:pPr>
        <w:rPr>
          <w:sz w:val="32"/>
          <w:szCs w:val="32"/>
        </w:rPr>
      </w:pPr>
      <w:r w:rsidRPr="00886CB1">
        <w:rPr>
          <w:b/>
          <w:bCs/>
          <w:sz w:val="32"/>
          <w:szCs w:val="32"/>
        </w:rPr>
        <w:t>2. Könige 4, 42 – 5, 19</w:t>
      </w:r>
    </w:p>
    <w:p w14:paraId="079FD76F" w14:textId="77777777" w:rsidR="00886CB1" w:rsidRPr="00886CB1" w:rsidRDefault="00886CB1" w:rsidP="00886CB1">
      <w:pPr>
        <w:rPr>
          <w:b/>
          <w:bCs/>
        </w:rPr>
      </w:pPr>
    </w:p>
    <w:p w14:paraId="1A186557" w14:textId="77777777" w:rsidR="00886CB1" w:rsidRPr="00886CB1" w:rsidRDefault="00886CB1" w:rsidP="00886CB1">
      <w:pPr>
        <w:jc w:val="both"/>
        <w:rPr>
          <w:sz w:val="28"/>
          <w:szCs w:val="28"/>
        </w:rPr>
      </w:pPr>
      <w:r w:rsidRPr="00886CB1">
        <w:rPr>
          <w:sz w:val="28"/>
          <w:szCs w:val="28"/>
        </w:rPr>
        <w:t xml:space="preserve">Der Torah-Abschnitt dieser Woche (3.Mo 12, 1 – 15, 33) stellt die Verordnungen zum Umgang mit Aussatz in den Mittelpunkt. Da liegt es nahe, sich ergänzend der Geschichte von der Heilung des Naaman zu widmen, von dem es so prägnant heißt „Der Mann war ein Kriegsheld, aber aussätzig“. </w:t>
      </w:r>
    </w:p>
    <w:p w14:paraId="202A2D90" w14:textId="77777777" w:rsidR="00886CB1" w:rsidRPr="00886CB1" w:rsidRDefault="00886CB1" w:rsidP="00886CB1">
      <w:pPr>
        <w:jc w:val="both"/>
        <w:rPr>
          <w:sz w:val="28"/>
          <w:szCs w:val="28"/>
        </w:rPr>
      </w:pPr>
      <w:r w:rsidRPr="00886CB1">
        <w:rPr>
          <w:b/>
          <w:bCs/>
          <w:sz w:val="28"/>
          <w:szCs w:val="28"/>
        </w:rPr>
        <w:t xml:space="preserve">1) </w:t>
      </w:r>
      <w:r w:rsidRPr="00886CB1">
        <w:rPr>
          <w:b/>
          <w:bCs/>
          <w:sz w:val="28"/>
          <w:szCs w:val="28"/>
        </w:rPr>
        <w:tab/>
        <w:t>Gehilfen zum Segen</w:t>
      </w:r>
    </w:p>
    <w:p w14:paraId="05AA299C" w14:textId="77777777" w:rsidR="00886CB1" w:rsidRPr="00886CB1" w:rsidRDefault="00886CB1" w:rsidP="00886CB1">
      <w:pPr>
        <w:jc w:val="both"/>
        <w:rPr>
          <w:sz w:val="28"/>
          <w:szCs w:val="28"/>
        </w:rPr>
      </w:pPr>
      <w:r w:rsidRPr="00886CB1">
        <w:rPr>
          <w:i/>
          <w:iCs/>
          <w:sz w:val="28"/>
          <w:szCs w:val="28"/>
        </w:rPr>
        <w:t>„Und die Aramäer waren auf Raub ausgezogen und hatten aus dem Land Israel ein junges Mädchen gefangen weggeführt, das kam in den Dienst der Frau des Naaman. Und sie sagte zu ihrer Herrin: Ach wäre mein Herr doch vor dem Propheten, der in Samaria wohnt! Dann würde er ihn von seinem Aussatz befreien“ (5, V. 2 f.).</w:t>
      </w:r>
    </w:p>
    <w:p w14:paraId="7AF6C4A1" w14:textId="77777777" w:rsidR="00886CB1" w:rsidRPr="00886CB1" w:rsidRDefault="00886CB1" w:rsidP="00886CB1">
      <w:pPr>
        <w:jc w:val="both"/>
        <w:rPr>
          <w:sz w:val="28"/>
          <w:szCs w:val="28"/>
        </w:rPr>
      </w:pPr>
      <w:r w:rsidRPr="00886CB1">
        <w:rPr>
          <w:sz w:val="28"/>
          <w:szCs w:val="28"/>
        </w:rPr>
        <w:t>Der wesentliche Impuls, wo die richtige Adresse zur Heilung zu finden ist, kommt ausgerechnet von einem Mädchen, das gewaltsam in die Gegend des Naaman gebracht worden ist. Sie hätte grollen können, sie hätte aus einer Enttäuschung heraus gleichgültig über die Situation ihrer Herrschaft hinweggehen können, aber sie leidet sogar mit und wünscht ihm das Beste</w:t>
      </w:r>
      <w:r w:rsidRPr="00886CB1">
        <w:rPr>
          <w:i/>
          <w:iCs/>
          <w:sz w:val="28"/>
          <w:szCs w:val="28"/>
        </w:rPr>
        <w:t>. „Ach, wäre mein Herr doch…“</w:t>
      </w:r>
      <w:r w:rsidRPr="00886CB1">
        <w:rPr>
          <w:sz w:val="28"/>
          <w:szCs w:val="28"/>
        </w:rPr>
        <w:t xml:space="preserve">  Es ist ein jüdisches Mädchen. Sie wird dem Aramäer zum Segen. Wieviel Segen haben wir selbst schon durch Juden erfahren! Denken wir daran, dass die meisten Schreiber des NT Juden waren. Oder denken wir an das reiche jüdische Kulturgut, das zu unserer abendländischen Tradition gehört (von dem  leider so schrecklich viele Schätze durch die Nazis vernichtet wurden) oder an die zahlreichen Errungenschaften und Erfindungen, deren jüdischen Ursprung wir uns oftmals gar nicht bewusst machen.</w:t>
      </w:r>
    </w:p>
    <w:p w14:paraId="7156565B" w14:textId="77777777" w:rsidR="00886CB1" w:rsidRPr="00886CB1" w:rsidRDefault="00886CB1" w:rsidP="00886CB1">
      <w:pPr>
        <w:jc w:val="both"/>
        <w:rPr>
          <w:sz w:val="28"/>
          <w:szCs w:val="28"/>
        </w:rPr>
      </w:pPr>
      <w:r w:rsidRPr="00886CB1">
        <w:rPr>
          <w:i/>
          <w:iCs/>
          <w:sz w:val="28"/>
          <w:szCs w:val="28"/>
        </w:rPr>
        <w:t>„Da sagte der König von Aram: Geh, zieh hin! Und ich will dazu an den König von Israel einen Brief senden“ (5, V. 5).</w:t>
      </w:r>
    </w:p>
    <w:p w14:paraId="183BCBE9" w14:textId="77777777" w:rsidR="00886CB1" w:rsidRPr="00886CB1" w:rsidRDefault="00886CB1" w:rsidP="00886CB1">
      <w:pPr>
        <w:jc w:val="both"/>
        <w:rPr>
          <w:sz w:val="28"/>
          <w:szCs w:val="28"/>
        </w:rPr>
      </w:pPr>
      <w:r w:rsidRPr="00886CB1">
        <w:rPr>
          <w:i/>
          <w:iCs/>
          <w:sz w:val="28"/>
          <w:szCs w:val="28"/>
        </w:rPr>
        <w:t>„…und er lautete so: Und nun, wenn dieser Brief zu dir kommt, so wisse, siehe, ich habe meinen Knecht Naaman zu dir gesandt, damit du ihn von seinem Aussatz befreist“ (5, V. 6).</w:t>
      </w:r>
    </w:p>
    <w:p w14:paraId="2DC5BE62" w14:textId="77777777" w:rsidR="00886CB1" w:rsidRPr="00886CB1" w:rsidRDefault="00886CB1" w:rsidP="00886CB1">
      <w:pPr>
        <w:jc w:val="both"/>
        <w:rPr>
          <w:sz w:val="28"/>
          <w:szCs w:val="28"/>
        </w:rPr>
      </w:pPr>
      <w:r w:rsidRPr="00886CB1">
        <w:rPr>
          <w:sz w:val="28"/>
          <w:szCs w:val="28"/>
        </w:rPr>
        <w:t>Auch dies ist nicht selbstverständlich: Der König lässt einen seiner besten Offiziere zur Behandlung in ein Land ziehen, mit dem Syrien zu jener Zeit verfeindet ist. Und er gibt quasi ein Referenzschreiben mit. Ein Aussätziger, eigentlich gesellschaftlich geächtet, bekommt eine Chance von seinem Chef.</w:t>
      </w:r>
    </w:p>
    <w:p w14:paraId="162583E8" w14:textId="77777777" w:rsidR="00886CB1" w:rsidRPr="00886CB1" w:rsidRDefault="00886CB1" w:rsidP="00886CB1">
      <w:pPr>
        <w:jc w:val="both"/>
        <w:rPr>
          <w:sz w:val="28"/>
          <w:szCs w:val="28"/>
        </w:rPr>
      </w:pPr>
    </w:p>
    <w:p w14:paraId="384207A4" w14:textId="77777777" w:rsidR="00886CB1" w:rsidRPr="00886CB1" w:rsidRDefault="00886CB1" w:rsidP="00886CB1">
      <w:pPr>
        <w:jc w:val="both"/>
        <w:rPr>
          <w:sz w:val="28"/>
          <w:szCs w:val="28"/>
        </w:rPr>
      </w:pPr>
      <w:r w:rsidRPr="00886CB1">
        <w:rPr>
          <w:sz w:val="28"/>
          <w:szCs w:val="28"/>
        </w:rPr>
        <w:lastRenderedPageBreak/>
        <w:t>Der nächste in der Segenskette ist der Prophet Elisa</w:t>
      </w:r>
      <w:r w:rsidRPr="00886CB1">
        <w:rPr>
          <w:i/>
          <w:iCs/>
          <w:sz w:val="28"/>
          <w:szCs w:val="28"/>
        </w:rPr>
        <w:t xml:space="preserve">. „Lass ihn doch zu mir kommen. Und er soll erkennen, dass ein Prophet in Israel ist.“ </w:t>
      </w:r>
    </w:p>
    <w:p w14:paraId="582BE66F" w14:textId="77777777" w:rsidR="00886CB1" w:rsidRPr="00886CB1" w:rsidRDefault="00886CB1" w:rsidP="00886CB1">
      <w:pPr>
        <w:jc w:val="both"/>
        <w:rPr>
          <w:sz w:val="28"/>
          <w:szCs w:val="28"/>
        </w:rPr>
      </w:pPr>
      <w:r w:rsidRPr="00886CB1">
        <w:rPr>
          <w:i/>
          <w:iCs/>
          <w:sz w:val="28"/>
          <w:szCs w:val="28"/>
        </w:rPr>
        <w:t>„Und Elisa schickte einen Boten zu ihm und ließ ihm sagen: Geh hin und bade dich siebenmal im Jordan! So wird dir dein Fleisch wiederhergestellt werden und rein sein.“ (5, V. 8+10).</w:t>
      </w:r>
    </w:p>
    <w:p w14:paraId="13935221" w14:textId="77777777" w:rsidR="00886CB1" w:rsidRPr="00886CB1" w:rsidRDefault="00886CB1" w:rsidP="00886CB1">
      <w:pPr>
        <w:jc w:val="both"/>
        <w:rPr>
          <w:sz w:val="28"/>
          <w:szCs w:val="28"/>
        </w:rPr>
      </w:pPr>
      <w:r w:rsidRPr="00886CB1">
        <w:rPr>
          <w:sz w:val="28"/>
          <w:szCs w:val="28"/>
        </w:rPr>
        <w:t>Dem Elisa ist es ein Herzensanliegen, dass der Syrer den Gott Abrahams, Isaaks und Jakobs als den Handelnden erkennt. Nicht sich selbst will er herausstellen, sonst hätte er nicht dem Naaman einen Boten entgegengeschickt. Er hat von Gott den Impuls, was zur Heilung führen wird, und spricht in großer Glaubensgewissheit die Erwartung hundertprozentiger Genesung aus.</w:t>
      </w:r>
    </w:p>
    <w:p w14:paraId="6143427E" w14:textId="77777777" w:rsidR="00886CB1" w:rsidRPr="00886CB1" w:rsidRDefault="00886CB1" w:rsidP="00886CB1">
      <w:pPr>
        <w:jc w:val="both"/>
        <w:rPr>
          <w:sz w:val="28"/>
          <w:szCs w:val="28"/>
        </w:rPr>
      </w:pPr>
      <w:r w:rsidRPr="00886CB1">
        <w:rPr>
          <w:sz w:val="28"/>
          <w:szCs w:val="28"/>
        </w:rPr>
        <w:t xml:space="preserve">Weil dem Offizier die Therapie zu simpel erscheint, wendet er sich zornig ab. </w:t>
      </w:r>
      <w:r w:rsidRPr="00886CB1">
        <w:rPr>
          <w:i/>
          <w:iCs/>
          <w:sz w:val="28"/>
          <w:szCs w:val="28"/>
        </w:rPr>
        <w:t>„Da traten seine Diener herzu und redeten zu ihm und sagten: Mein Vater, hätte der Prophet eine große Sache zu dir geredet, hättest du es nicht getan? Wie viel mehr, da er nur zu dir gesagt hat: Bade, und du wirst rein sein!“ (5, V. 13).</w:t>
      </w:r>
    </w:p>
    <w:p w14:paraId="6C5ACA84" w14:textId="77777777" w:rsidR="00886CB1" w:rsidRPr="00886CB1" w:rsidRDefault="00886CB1" w:rsidP="00886CB1">
      <w:pPr>
        <w:jc w:val="both"/>
        <w:rPr>
          <w:sz w:val="28"/>
          <w:szCs w:val="28"/>
        </w:rPr>
      </w:pPr>
      <w:r w:rsidRPr="00886CB1">
        <w:rPr>
          <w:sz w:val="28"/>
          <w:szCs w:val="28"/>
        </w:rPr>
        <w:t xml:space="preserve">Auf diesen seelsorgerlich einfühlsamen Hinweis hin entscheidet sich Naaman, im Jordan siebenmal unterzutauchen. Es sind nicht immer nur die großen Experten und die weithin anerkannten Persönlichkeiten, die im Reich Gottes Segen wirken. Solche einfachen Diener werden hier von Gott eingesetzt, zum entscheidenden Durchbruch zu verhelfen.  </w:t>
      </w:r>
    </w:p>
    <w:p w14:paraId="210275B7" w14:textId="77777777" w:rsidR="00886CB1" w:rsidRPr="00886CB1" w:rsidRDefault="00886CB1" w:rsidP="00886CB1">
      <w:pPr>
        <w:jc w:val="both"/>
        <w:rPr>
          <w:sz w:val="28"/>
          <w:szCs w:val="28"/>
        </w:rPr>
      </w:pPr>
      <w:r w:rsidRPr="00886CB1">
        <w:rPr>
          <w:sz w:val="28"/>
          <w:szCs w:val="28"/>
        </w:rPr>
        <w:t>Die Bibel ist voll von weiteren kostbaren Beispielen, aus denen wir lernen können, wie Menschen aneinander zum Segen gesetzt werden. Da tritt z.B. der Hauptmann von Kapernaum für seinen kranken Diener ein (Mt. 8, 5 ff.). Da  bringen vier Leute einen Gelähmten zu Jesus und müssen sogar das Dach des Hauses abdecken, um zu dem HERRN zu gelangen. Sie sind offensichtlich so einig, dass die Trage bei diesem Balance-Akt nicht umkippt. Das Bemerkenswerte ist auch, dass  das Wunder von Sündenvergebung und Heilung auf den Glauben der vier hin geschieht. Vom Glauben des Kranken ist uns nichts bekannt. (Luk. 5, 17 ff.). Oder denken wir an den Fall des Mannes, der - seit seiner Geburt lahm – täglich (nicht nur ab und an) zur sog. Schönen Pforte getragen wird. Welche Treue der Nächstenliebe, die das Wirken des Petrus erst möglich macht! (Apg. 3, 2 ff.). Und welcher Segen entsteht durch den Gehorsam des Hauptmanns Kornelius - eine heilsgeschichtliche Weichenstellung! (Apg. 10).</w:t>
      </w:r>
    </w:p>
    <w:p w14:paraId="766AB82E" w14:textId="77777777" w:rsidR="00886CB1" w:rsidRPr="00886CB1" w:rsidRDefault="00886CB1" w:rsidP="00886CB1">
      <w:pPr>
        <w:jc w:val="both"/>
        <w:rPr>
          <w:sz w:val="28"/>
          <w:szCs w:val="28"/>
        </w:rPr>
      </w:pPr>
    </w:p>
    <w:p w14:paraId="7728C095" w14:textId="77777777" w:rsidR="00886CB1" w:rsidRPr="00886CB1" w:rsidRDefault="00886CB1" w:rsidP="00886CB1">
      <w:pPr>
        <w:jc w:val="both"/>
        <w:rPr>
          <w:sz w:val="28"/>
          <w:szCs w:val="28"/>
        </w:rPr>
      </w:pPr>
      <w:r w:rsidRPr="00886CB1">
        <w:rPr>
          <w:sz w:val="28"/>
          <w:szCs w:val="28"/>
        </w:rPr>
        <w:lastRenderedPageBreak/>
        <w:t>„Jeder von uns gefalle dem Nächsten zum Guten, zur Erbauung!“ (</w:t>
      </w:r>
      <w:proofErr w:type="spellStart"/>
      <w:r w:rsidRPr="00886CB1">
        <w:rPr>
          <w:sz w:val="28"/>
          <w:szCs w:val="28"/>
        </w:rPr>
        <w:t>Rö</w:t>
      </w:r>
      <w:proofErr w:type="spellEnd"/>
      <w:r w:rsidRPr="00886CB1">
        <w:rPr>
          <w:sz w:val="28"/>
          <w:szCs w:val="28"/>
        </w:rPr>
        <w:t xml:space="preserve"> 15, 2). „Ein jeder sehe nicht auf das Seine, sondern ein jeder auch auf das der anderen!“ (Phil. 2, 4). „Denn Gottes Mitarbeiter sind wir“ (1. Kor. 3, 9).</w:t>
      </w:r>
    </w:p>
    <w:p w14:paraId="1859E752" w14:textId="77777777" w:rsidR="00886CB1" w:rsidRPr="00886CB1" w:rsidRDefault="00886CB1" w:rsidP="00886CB1">
      <w:pPr>
        <w:jc w:val="both"/>
        <w:rPr>
          <w:sz w:val="28"/>
          <w:szCs w:val="28"/>
        </w:rPr>
      </w:pPr>
      <w:r w:rsidRPr="00886CB1">
        <w:rPr>
          <w:b/>
          <w:bCs/>
          <w:sz w:val="28"/>
          <w:szCs w:val="28"/>
        </w:rPr>
        <w:t xml:space="preserve">2) </w:t>
      </w:r>
      <w:r w:rsidRPr="00886CB1">
        <w:rPr>
          <w:b/>
          <w:bCs/>
          <w:sz w:val="28"/>
          <w:szCs w:val="28"/>
        </w:rPr>
        <w:tab/>
        <w:t>Innere Festlegungen</w:t>
      </w:r>
    </w:p>
    <w:p w14:paraId="01EB3295" w14:textId="77777777" w:rsidR="00886CB1" w:rsidRPr="00886CB1" w:rsidRDefault="00886CB1" w:rsidP="00886CB1">
      <w:pPr>
        <w:jc w:val="both"/>
        <w:rPr>
          <w:sz w:val="28"/>
          <w:szCs w:val="28"/>
        </w:rPr>
      </w:pPr>
      <w:r w:rsidRPr="00886CB1">
        <w:rPr>
          <w:i/>
          <w:iCs/>
          <w:sz w:val="28"/>
          <w:szCs w:val="28"/>
        </w:rPr>
        <w:t>„Und er sagte: Siehe, ich hatte mir gesagt: Er wird nach draußen zu mir herauskommen</w:t>
      </w:r>
    </w:p>
    <w:p w14:paraId="37003A26" w14:textId="77777777" w:rsidR="00886CB1" w:rsidRPr="00886CB1" w:rsidRDefault="00886CB1" w:rsidP="00886CB1">
      <w:pPr>
        <w:jc w:val="both"/>
        <w:rPr>
          <w:sz w:val="28"/>
          <w:szCs w:val="28"/>
        </w:rPr>
      </w:pPr>
      <w:r w:rsidRPr="00886CB1">
        <w:rPr>
          <w:i/>
          <w:iCs/>
          <w:sz w:val="28"/>
          <w:szCs w:val="28"/>
        </w:rPr>
        <w:t xml:space="preserve"> und hintreten und den Namen des HERRN, seines Gottes, anrufen und wird seine Hand über die Stelle schwingen und so den Aussätzigen vom Aussatz befreien“ (5, V. 11).</w:t>
      </w:r>
    </w:p>
    <w:p w14:paraId="4E9B2D1C" w14:textId="77777777" w:rsidR="00886CB1" w:rsidRPr="00886CB1" w:rsidRDefault="00886CB1" w:rsidP="00886CB1">
      <w:pPr>
        <w:jc w:val="both"/>
        <w:rPr>
          <w:sz w:val="28"/>
          <w:szCs w:val="28"/>
        </w:rPr>
      </w:pPr>
      <w:r w:rsidRPr="00886CB1">
        <w:rPr>
          <w:sz w:val="28"/>
          <w:szCs w:val="28"/>
        </w:rPr>
        <w:t xml:space="preserve">Der Offizier empfindet es als einen Affront, dass er – da er doch schließlich so weit gereist ist und sogar einen Brief des Königs bei sich hat -  nicht von dem  bekannten Propheten persönlich in einem angemessenen Rahmen empfangen wird, sondern nur von dessen Boten  </w:t>
      </w:r>
    </w:p>
    <w:p w14:paraId="321E7B0A" w14:textId="77777777" w:rsidR="00886CB1" w:rsidRPr="00886CB1" w:rsidRDefault="00886CB1" w:rsidP="00886CB1">
      <w:pPr>
        <w:jc w:val="both"/>
        <w:rPr>
          <w:sz w:val="28"/>
          <w:szCs w:val="28"/>
        </w:rPr>
      </w:pPr>
      <w:r w:rsidRPr="00886CB1">
        <w:rPr>
          <w:sz w:val="28"/>
          <w:szCs w:val="28"/>
        </w:rPr>
        <w:t>vor der Haustür. Die Heilung erwartet er doch vom Propheten! Wie ist das mit uns? Auf Konferenzen und in manchen Gemeinden werden Seelsorge- und Heilungsdienste durch eine Reihe von dazu benannten Geschwistern angeboten. Ist es uns dann gleichgültig, bei wem wir diese Dienste in Anspruch nehmen? Gewiss, es gibt spezielle Begabungen. Aber unsere Hilfe und Heilung kommt vom HERRN!</w:t>
      </w:r>
    </w:p>
    <w:p w14:paraId="315FAF16" w14:textId="77777777" w:rsidR="00886CB1" w:rsidRPr="00886CB1" w:rsidRDefault="00886CB1" w:rsidP="00886CB1">
      <w:pPr>
        <w:jc w:val="both"/>
        <w:rPr>
          <w:sz w:val="28"/>
          <w:szCs w:val="28"/>
        </w:rPr>
      </w:pPr>
      <w:r w:rsidRPr="00886CB1">
        <w:rPr>
          <w:sz w:val="28"/>
          <w:szCs w:val="28"/>
        </w:rPr>
        <w:t xml:space="preserve">Der Syrer kommt auch mit verblüffend konkreten Vorstellungen, auf welche Weise der Prophet handeln werde. Ja, ist es nicht völlig richtig zu erwarten, dass der Name des HERRN über der Situation angerufen wird? Wir lesen nichts davon, dass Elisa dies getan hat –aber wir können seiner ständigen Verbindung mit Gott gewiss sein und davon ausgehen, dass er „im stillen Kämmerlein“ den Namen des Heiligen Israels proklamiert hat. Die Bibel betont immer wieder, welche Bedeutung der Name unseres Gottes hat, wenn wir um Hilfe bitten (und wenn wir Ihn loben). „Unsere Hilfe steht im Namen des HERRN, der Himmel und Erde gemacht hat“ (Ps. 124, 8). </w:t>
      </w:r>
    </w:p>
    <w:p w14:paraId="4C6051A2" w14:textId="77777777" w:rsidR="00886CB1" w:rsidRPr="00886CB1" w:rsidRDefault="00886CB1" w:rsidP="00886CB1">
      <w:pPr>
        <w:jc w:val="both"/>
        <w:rPr>
          <w:sz w:val="28"/>
          <w:szCs w:val="28"/>
        </w:rPr>
      </w:pPr>
      <w:proofErr w:type="spellStart"/>
      <w:r w:rsidRPr="00886CB1">
        <w:rPr>
          <w:sz w:val="28"/>
          <w:szCs w:val="28"/>
        </w:rPr>
        <w:t>Naamans</w:t>
      </w:r>
      <w:proofErr w:type="spellEnd"/>
      <w:r w:rsidRPr="00886CB1">
        <w:rPr>
          <w:sz w:val="28"/>
          <w:szCs w:val="28"/>
        </w:rPr>
        <w:t xml:space="preserve"> Erwartung eines bestimmten äußeren Rituals mag uns daran erinnern, dass auch in christlichen Kreisen oft recht unterschiedliche Praktiken zu finden sind, Stile der Anbetung, Bevorzugung eines bestimmten Liedgutes, Gebetshaltungen, Formen des Gottesdienstes und der Liturgie. Wie gehen wir damit um? Sind wir aus Gewohnheiten heraus festgelegt? Halten wir es für möglich, dass der HERR uns auch erreichen will und kann, wenn wir Gottesdienste erleben, die nicht der Prägung unserer Denomination entsprechen?</w:t>
      </w:r>
    </w:p>
    <w:p w14:paraId="26288347" w14:textId="77777777" w:rsidR="00886CB1" w:rsidRPr="00886CB1" w:rsidRDefault="00886CB1" w:rsidP="00886CB1">
      <w:pPr>
        <w:jc w:val="both"/>
        <w:rPr>
          <w:sz w:val="28"/>
          <w:szCs w:val="28"/>
        </w:rPr>
      </w:pPr>
    </w:p>
    <w:p w14:paraId="7B4102F2" w14:textId="77777777" w:rsidR="00886CB1" w:rsidRPr="00886CB1" w:rsidRDefault="00886CB1" w:rsidP="00886CB1">
      <w:pPr>
        <w:jc w:val="both"/>
        <w:rPr>
          <w:sz w:val="28"/>
          <w:szCs w:val="28"/>
        </w:rPr>
      </w:pPr>
      <w:r w:rsidRPr="00886CB1">
        <w:rPr>
          <w:i/>
          <w:iCs/>
          <w:sz w:val="28"/>
          <w:szCs w:val="28"/>
        </w:rPr>
        <w:t xml:space="preserve">„Sind nicht </w:t>
      </w:r>
      <w:proofErr w:type="spellStart"/>
      <w:r w:rsidRPr="00886CB1">
        <w:rPr>
          <w:i/>
          <w:iCs/>
          <w:sz w:val="28"/>
          <w:szCs w:val="28"/>
        </w:rPr>
        <w:t>Abana</w:t>
      </w:r>
      <w:proofErr w:type="spellEnd"/>
      <w:r w:rsidRPr="00886CB1">
        <w:rPr>
          <w:i/>
          <w:iCs/>
          <w:sz w:val="28"/>
          <w:szCs w:val="28"/>
        </w:rPr>
        <w:t xml:space="preserve"> und </w:t>
      </w:r>
      <w:proofErr w:type="spellStart"/>
      <w:r w:rsidRPr="00886CB1">
        <w:rPr>
          <w:i/>
          <w:iCs/>
          <w:sz w:val="28"/>
          <w:szCs w:val="28"/>
        </w:rPr>
        <w:t>Parpar</w:t>
      </w:r>
      <w:proofErr w:type="spellEnd"/>
      <w:r w:rsidRPr="00886CB1">
        <w:rPr>
          <w:i/>
          <w:iCs/>
          <w:sz w:val="28"/>
          <w:szCs w:val="28"/>
        </w:rPr>
        <w:t>, die Flüsse von Damaskus, besser als alle Wasser von Israel? Kann ich mich nicht darin baden und rein werden? Und er wandte sich um und ging im Zorn davon“ (5, V. 12).</w:t>
      </w:r>
    </w:p>
    <w:p w14:paraId="0E1DBC07" w14:textId="77777777" w:rsidR="00886CB1" w:rsidRPr="00886CB1" w:rsidRDefault="00886CB1" w:rsidP="00886CB1">
      <w:pPr>
        <w:jc w:val="both"/>
        <w:rPr>
          <w:sz w:val="28"/>
          <w:szCs w:val="28"/>
        </w:rPr>
      </w:pPr>
      <w:r w:rsidRPr="00886CB1">
        <w:rPr>
          <w:sz w:val="28"/>
          <w:szCs w:val="28"/>
        </w:rPr>
        <w:t xml:space="preserve">Wenn man den Jordan in der Trockenzeit des Sommers sieht, ein schmales Flüsschen, dann kann man sich vorstellen, dass die Flüsse in Syrien beeindruckender sein könnten. Aber lässt sich Naaman bei seiner Reaktion wirklich nur von Äußerem leiten? Ist es nicht in Wahrheit eine innere Sperre dagegen, dass aus Israel etwas Gutes kommen könne? Vielleicht soll der Offizier nicht nur vom Aussatz, sondern auch von einem Vorurteil geheilt werden? Wie viele Menschen auch in unserer Umgebung gingen schon „im Zorn davon“ oder begehrten auf, wenn sie auf Israel angesprochen wurden! </w:t>
      </w:r>
    </w:p>
    <w:p w14:paraId="25C302A8" w14:textId="77777777" w:rsidR="00886CB1" w:rsidRPr="00886CB1" w:rsidRDefault="00886CB1" w:rsidP="00886CB1">
      <w:pPr>
        <w:jc w:val="both"/>
        <w:rPr>
          <w:sz w:val="28"/>
          <w:szCs w:val="28"/>
        </w:rPr>
      </w:pPr>
      <w:r w:rsidRPr="00886CB1">
        <w:rPr>
          <w:sz w:val="28"/>
          <w:szCs w:val="28"/>
        </w:rPr>
        <w:t>Gewiss kann unser großer Gott überall heilen, aber ER hat sich nun einmal in Seiner Autorität die Entscheidung vorbehalten, wie ER es jeweils tun will und wo ER es in besonderer Weise tun will. Denken wir z.B. an die wunderbare Heilkraft des Toten Meeres, in der Kombination von Charakteristiken des Wassers und der Luft einmalig auf der Welt.</w:t>
      </w:r>
    </w:p>
    <w:p w14:paraId="3431F978" w14:textId="77777777" w:rsidR="00886CB1" w:rsidRPr="00886CB1" w:rsidRDefault="00886CB1" w:rsidP="00886CB1">
      <w:pPr>
        <w:jc w:val="both"/>
        <w:rPr>
          <w:sz w:val="28"/>
          <w:szCs w:val="28"/>
        </w:rPr>
      </w:pPr>
      <w:r w:rsidRPr="00886CB1">
        <w:rPr>
          <w:b/>
          <w:bCs/>
          <w:sz w:val="28"/>
          <w:szCs w:val="28"/>
        </w:rPr>
        <w:t xml:space="preserve">3) </w:t>
      </w:r>
      <w:r w:rsidRPr="00886CB1">
        <w:rPr>
          <w:b/>
          <w:bCs/>
          <w:sz w:val="28"/>
          <w:szCs w:val="28"/>
        </w:rPr>
        <w:tab/>
        <w:t>Gehorsamsübung</w:t>
      </w:r>
    </w:p>
    <w:p w14:paraId="2CFDF8A8" w14:textId="77777777" w:rsidR="00886CB1" w:rsidRPr="00886CB1" w:rsidRDefault="00886CB1" w:rsidP="00886CB1">
      <w:pPr>
        <w:jc w:val="both"/>
        <w:rPr>
          <w:sz w:val="28"/>
          <w:szCs w:val="28"/>
        </w:rPr>
      </w:pPr>
      <w:r w:rsidRPr="00886CB1">
        <w:rPr>
          <w:i/>
          <w:iCs/>
          <w:sz w:val="28"/>
          <w:szCs w:val="28"/>
        </w:rPr>
        <w:t>„Da stieg er hinab und tauchte im Jordan siebenmal unter nach dem Wort des Mannes Gottes. Da wurde sein Fleisch wieder wie das Fleisch eines jungen Knaben, und er wurde rein“ (5, V. 14).</w:t>
      </w:r>
    </w:p>
    <w:p w14:paraId="7720312A" w14:textId="77777777" w:rsidR="00886CB1" w:rsidRPr="00886CB1" w:rsidRDefault="00886CB1" w:rsidP="00886CB1">
      <w:pPr>
        <w:jc w:val="both"/>
        <w:rPr>
          <w:sz w:val="28"/>
          <w:szCs w:val="28"/>
        </w:rPr>
      </w:pPr>
      <w:r w:rsidRPr="00886CB1">
        <w:rPr>
          <w:sz w:val="28"/>
          <w:szCs w:val="28"/>
        </w:rPr>
        <w:t xml:space="preserve">Welche Überwindung mag es diesen Mann (der doch zu befehlen gewohnt ist) gekostet haben, diesen Schritt zu tun! Welche inneren Stimmen mögen ihn beschäftigt haben? </w:t>
      </w:r>
    </w:p>
    <w:p w14:paraId="290B1936" w14:textId="77777777" w:rsidR="00886CB1" w:rsidRPr="00886CB1" w:rsidRDefault="00886CB1" w:rsidP="00886CB1">
      <w:pPr>
        <w:jc w:val="both"/>
        <w:rPr>
          <w:sz w:val="28"/>
          <w:szCs w:val="28"/>
        </w:rPr>
      </w:pPr>
      <w:r w:rsidRPr="00886CB1">
        <w:rPr>
          <w:sz w:val="28"/>
          <w:szCs w:val="28"/>
        </w:rPr>
        <w:t>„Mache ich mich jetzt nicht lächerlich?“, „Kann ich das denn zu Hause überhaupt erzählen?“, „Wenn nun doch alles nichts nutzt?“, „Wenn das Wasser wirklich Heilkraft hat, dann reicht es ja wohl, einmal oder zweimal unterzutauchen!“…..</w:t>
      </w:r>
    </w:p>
    <w:p w14:paraId="1D66E24D" w14:textId="77777777" w:rsidR="00886CB1" w:rsidRPr="00886CB1" w:rsidRDefault="00886CB1" w:rsidP="00886CB1">
      <w:pPr>
        <w:jc w:val="both"/>
        <w:rPr>
          <w:sz w:val="28"/>
          <w:szCs w:val="28"/>
        </w:rPr>
      </w:pPr>
      <w:r w:rsidRPr="00886CB1">
        <w:rPr>
          <w:sz w:val="28"/>
          <w:szCs w:val="28"/>
        </w:rPr>
        <w:t>Kennen wir auch in unserem Leben derlei Stimmen, die uns zweifeln oder zögern lassen und uns womöglich von wichtigen Schritten abhalten?</w:t>
      </w:r>
    </w:p>
    <w:p w14:paraId="0F0471D4" w14:textId="77777777" w:rsidR="00886CB1" w:rsidRPr="00886CB1" w:rsidRDefault="00886CB1" w:rsidP="00886CB1">
      <w:pPr>
        <w:jc w:val="both"/>
        <w:rPr>
          <w:sz w:val="28"/>
          <w:szCs w:val="28"/>
        </w:rPr>
      </w:pPr>
      <w:r w:rsidRPr="00886CB1">
        <w:rPr>
          <w:sz w:val="28"/>
          <w:szCs w:val="28"/>
        </w:rPr>
        <w:t>Manches ist für unseren menschlichen Verstand nicht einsichtig. Ist es denn für uns z.B. logisch, dass das Volk Israel, um die Stadt Jericho einzunehmen, sechs Tage je einmal und am siebten Tag sieben Mal die Mauern umkreisen soll? (Jos. 6). Es ist die autonome göttliche Entscheidung.</w:t>
      </w:r>
    </w:p>
    <w:p w14:paraId="388F7AED" w14:textId="77777777" w:rsidR="00886CB1" w:rsidRPr="00886CB1" w:rsidRDefault="00886CB1" w:rsidP="00886CB1">
      <w:pPr>
        <w:jc w:val="both"/>
        <w:rPr>
          <w:sz w:val="28"/>
          <w:szCs w:val="28"/>
        </w:rPr>
      </w:pPr>
      <w:r w:rsidRPr="00886CB1">
        <w:rPr>
          <w:sz w:val="28"/>
          <w:szCs w:val="28"/>
        </w:rPr>
        <w:lastRenderedPageBreak/>
        <w:t>Immer wieder wird unser Glaubensgehorsam geprüft. Aber wir können uns dafür zurüsten lassen: „Die Waffen unseres Kampfes sind nicht fleischlich, sondern mächtig für Gott zur Zerstörung von Festungen; so zerstören wir Vernünfteleien und jede Höhe, die sich gegen die Erkenntnis Gottes erhebt, und nehmen jeden Gedanken gefangen unter den Gehorsam Christi“ (2. Kor. 10, 4 f.).</w:t>
      </w:r>
    </w:p>
    <w:p w14:paraId="736BB6AD" w14:textId="77777777" w:rsidR="00886CB1" w:rsidRPr="00886CB1" w:rsidRDefault="00886CB1" w:rsidP="00886CB1">
      <w:pPr>
        <w:jc w:val="both"/>
        <w:rPr>
          <w:sz w:val="28"/>
          <w:szCs w:val="28"/>
        </w:rPr>
      </w:pPr>
    </w:p>
    <w:p w14:paraId="56F60C53" w14:textId="77777777" w:rsidR="00E573F3" w:rsidRPr="00886CB1" w:rsidRDefault="00E573F3" w:rsidP="00886CB1">
      <w:pPr>
        <w:jc w:val="both"/>
        <w:rPr>
          <w:sz w:val="28"/>
          <w:szCs w:val="28"/>
        </w:rPr>
      </w:pPr>
    </w:p>
    <w:sectPr w:rsidR="00E573F3" w:rsidRPr="00886C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B1"/>
    <w:rsid w:val="0014716C"/>
    <w:rsid w:val="00886CB1"/>
    <w:rsid w:val="00C45539"/>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2A60"/>
  <w15:chartTrackingRefBased/>
  <w15:docId w15:val="{ACE11E06-21A6-4AA0-A7BF-57667FF9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6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6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6C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6C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6CB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6C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6CB1"/>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86CB1"/>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6CB1"/>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6CB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6CB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6CB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6CB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6CB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86CB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6CB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86CB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6CB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86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6CB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6C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6CB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86CB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6CB1"/>
    <w:rPr>
      <w:i/>
      <w:iCs/>
      <w:color w:val="404040" w:themeColor="text1" w:themeTint="BF"/>
    </w:rPr>
  </w:style>
  <w:style w:type="paragraph" w:styleId="Listenabsatz">
    <w:name w:val="List Paragraph"/>
    <w:basedOn w:val="Standard"/>
    <w:uiPriority w:val="34"/>
    <w:qFormat/>
    <w:rsid w:val="00886CB1"/>
    <w:pPr>
      <w:ind w:left="720"/>
      <w:contextualSpacing/>
    </w:pPr>
  </w:style>
  <w:style w:type="character" w:styleId="IntensiveHervorhebung">
    <w:name w:val="Intense Emphasis"/>
    <w:basedOn w:val="Absatz-Standardschriftart"/>
    <w:uiPriority w:val="21"/>
    <w:qFormat/>
    <w:rsid w:val="00886CB1"/>
    <w:rPr>
      <w:i/>
      <w:iCs/>
      <w:color w:val="0F4761" w:themeColor="accent1" w:themeShade="BF"/>
    </w:rPr>
  </w:style>
  <w:style w:type="paragraph" w:styleId="IntensivesZitat">
    <w:name w:val="Intense Quote"/>
    <w:basedOn w:val="Standard"/>
    <w:next w:val="Standard"/>
    <w:link w:val="IntensivesZitatZchn"/>
    <w:uiPriority w:val="30"/>
    <w:qFormat/>
    <w:rsid w:val="00886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6CB1"/>
    <w:rPr>
      <w:i/>
      <w:iCs/>
      <w:color w:val="0F4761" w:themeColor="accent1" w:themeShade="BF"/>
    </w:rPr>
  </w:style>
  <w:style w:type="character" w:styleId="IntensiverVerweis">
    <w:name w:val="Intense Reference"/>
    <w:basedOn w:val="Absatz-Standardschriftart"/>
    <w:uiPriority w:val="32"/>
    <w:qFormat/>
    <w:rsid w:val="00886C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7779</Characters>
  <Application>Microsoft Office Word</Application>
  <DocSecurity>0</DocSecurity>
  <Lines>146</Lines>
  <Paragraphs>38</Paragraphs>
  <ScaleCrop>false</ScaleCrop>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2026-03-24T16:43:00Z</dcterms:created>
  <dcterms:modified xsi:type="dcterms:W3CDTF">2026-03-24T16:49:00Z</dcterms:modified>
</cp:coreProperties>
</file>